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40" w:rsidRDefault="00DB4040" w:rsidP="00DB4040">
      <w:pPr>
        <w:jc w:val="left"/>
        <w:rPr>
          <w:rFonts w:ascii="黑体" w:eastAsia="黑体" w:hAnsi="黑体"/>
          <w:sz w:val="32"/>
          <w:szCs w:val="32"/>
        </w:rPr>
      </w:pPr>
      <w:r w:rsidRPr="00B31071">
        <w:rPr>
          <w:rFonts w:ascii="黑体" w:eastAsia="黑体" w:hAnsi="黑体" w:hint="eastAsia"/>
          <w:sz w:val="32"/>
          <w:szCs w:val="32"/>
        </w:rPr>
        <w:t>附件</w:t>
      </w:r>
      <w:r>
        <w:rPr>
          <w:rFonts w:ascii="黑体" w:eastAsia="黑体" w:hAnsi="黑体"/>
          <w:sz w:val="32"/>
          <w:szCs w:val="32"/>
        </w:rPr>
        <w:t>4</w:t>
      </w:r>
    </w:p>
    <w:p w:rsidR="00A65FF6" w:rsidRPr="00B31071" w:rsidRDefault="00A65FF6" w:rsidP="00DB4040">
      <w:pPr>
        <w:jc w:val="left"/>
        <w:rPr>
          <w:rFonts w:ascii="黑体" w:eastAsia="黑体" w:hAnsi="黑体"/>
          <w:sz w:val="32"/>
          <w:szCs w:val="32"/>
        </w:rPr>
      </w:pPr>
    </w:p>
    <w:p w:rsidR="00DB4040" w:rsidRDefault="00910797" w:rsidP="00DB4040">
      <w:pPr>
        <w:pStyle w:val="a3"/>
        <w:adjustRightInd w:val="0"/>
        <w:snapToGrid w:val="0"/>
        <w:spacing w:line="560" w:lineRule="exact"/>
        <w:ind w:rightChars="-311" w:right="-746"/>
        <w:jc w:val="center"/>
        <w:rPr>
          <w:rFonts w:ascii="方正小标宋简体" w:eastAsia="方正小标宋简体" w:hAnsi="Calibri" w:cs="Times New Roman"/>
          <w:sz w:val="36"/>
          <w:szCs w:val="36"/>
        </w:rPr>
      </w:pPr>
      <w:r w:rsidRPr="00DB4040">
        <w:rPr>
          <w:rFonts w:ascii="方正小标宋简体" w:eastAsia="方正小标宋简体" w:hAnsi="Calibri" w:cs="Times New Roman" w:hint="eastAsia"/>
          <w:sz w:val="36"/>
          <w:szCs w:val="36"/>
        </w:rPr>
        <w:t>中国教育学会202</w:t>
      </w:r>
      <w:r w:rsidRPr="00DB4040">
        <w:rPr>
          <w:rFonts w:ascii="方正小标宋简体" w:eastAsia="方正小标宋简体" w:hAnsi="Calibri" w:cs="Times New Roman"/>
          <w:sz w:val="36"/>
          <w:szCs w:val="36"/>
        </w:rPr>
        <w:t>2</w:t>
      </w:r>
      <w:r w:rsidRPr="00DB4040">
        <w:rPr>
          <w:rFonts w:ascii="方正小标宋简体" w:eastAsia="方正小标宋简体" w:hAnsi="Calibri" w:cs="Times New Roman" w:hint="eastAsia"/>
          <w:sz w:val="36"/>
          <w:szCs w:val="36"/>
        </w:rPr>
        <w:t>年度</w:t>
      </w:r>
      <w:r w:rsidR="00DB4040" w:rsidRPr="00DB4040">
        <w:rPr>
          <w:rFonts w:ascii="方正小标宋简体" w:eastAsia="方正小标宋简体" w:hAnsi="Calibri" w:cs="Times New Roman" w:hint="eastAsia"/>
          <w:sz w:val="36"/>
          <w:szCs w:val="36"/>
        </w:rPr>
        <w:t>教育科研</w:t>
      </w:r>
      <w:r w:rsidRPr="00DB4040">
        <w:rPr>
          <w:rFonts w:ascii="方正小标宋简体" w:eastAsia="方正小标宋简体" w:hAnsi="Calibri" w:cs="Times New Roman" w:hint="eastAsia"/>
          <w:sz w:val="36"/>
          <w:szCs w:val="36"/>
        </w:rPr>
        <w:t>课题</w:t>
      </w:r>
    </w:p>
    <w:p w:rsidR="00910797" w:rsidRPr="00DB4040" w:rsidRDefault="00910797" w:rsidP="00DB4040">
      <w:pPr>
        <w:pStyle w:val="a3"/>
        <w:adjustRightInd w:val="0"/>
        <w:snapToGrid w:val="0"/>
        <w:spacing w:line="560" w:lineRule="exact"/>
        <w:ind w:rightChars="-311" w:right="-746"/>
        <w:jc w:val="center"/>
        <w:rPr>
          <w:rFonts w:ascii="方正小标宋简体" w:eastAsia="方正小标宋简体" w:hAnsi="Calibri" w:cs="Times New Roman"/>
          <w:sz w:val="36"/>
          <w:szCs w:val="36"/>
        </w:rPr>
      </w:pPr>
      <w:r w:rsidRPr="00DB4040">
        <w:rPr>
          <w:rFonts w:ascii="方正小标宋简体" w:eastAsia="方正小标宋简体" w:hAnsi="Calibri" w:cs="Times New Roman" w:hint="eastAsia"/>
          <w:sz w:val="36"/>
          <w:szCs w:val="36"/>
        </w:rPr>
        <w:t>研究侧重方向</w:t>
      </w:r>
    </w:p>
    <w:p w:rsidR="00910797" w:rsidRDefault="00910797" w:rsidP="00A65FF6">
      <w:pPr>
        <w:widowControl/>
        <w:tabs>
          <w:tab w:val="left" w:pos="13413"/>
        </w:tabs>
        <w:jc w:val="left"/>
        <w:rPr>
          <w:rFonts w:ascii="宋体" w:eastAsia="宋体" w:hAnsi="宋体" w:cs="宋体"/>
          <w:noProof w:val="0"/>
          <w:color w:val="000000"/>
          <w:kern w:val="0"/>
          <w:sz w:val="22"/>
          <w:szCs w:val="22"/>
        </w:rPr>
      </w:pP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1.</w:t>
      </w:r>
      <w:r w:rsidRPr="00910797">
        <w:rPr>
          <w:rFonts w:ascii="仿宋_GB2312" w:eastAsia="仿宋_GB2312" w:hAnsi="宋体" w:cs="Times New Roman" w:hint="eastAsia"/>
          <w:noProof w:val="0"/>
          <w:position w:val="6"/>
          <w:sz w:val="30"/>
          <w:szCs w:val="30"/>
        </w:rPr>
        <w:t>新时代促进教育公平与质量提升的基本理论研究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2</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基础教育高质量发展关键指标研究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3</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构建区域优质均衡基本公共教育服务体系若干问题研究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4.</w:t>
      </w:r>
      <w:r w:rsidRPr="00910797">
        <w:rPr>
          <w:rFonts w:ascii="仿宋_GB2312" w:eastAsia="仿宋_GB2312" w:hAnsi="宋体" w:cs="Times New Roman" w:hint="eastAsia"/>
          <w:noProof w:val="0"/>
          <w:position w:val="6"/>
          <w:sz w:val="30"/>
          <w:szCs w:val="30"/>
        </w:rPr>
        <w:t>中小学校党组织领导的校长负责制运行机制与实践策略研究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5.</w:t>
      </w:r>
      <w:r w:rsidRPr="00910797">
        <w:rPr>
          <w:rFonts w:ascii="仿宋_GB2312" w:eastAsia="仿宋_GB2312" w:hAnsi="宋体" w:cs="Times New Roman" w:hint="eastAsia"/>
          <w:noProof w:val="0"/>
          <w:position w:val="6"/>
          <w:sz w:val="30"/>
          <w:szCs w:val="30"/>
        </w:rPr>
        <w:t>大中小学</w:t>
      </w:r>
      <w:proofErr w:type="gramStart"/>
      <w:r w:rsidRPr="00910797">
        <w:rPr>
          <w:rFonts w:ascii="仿宋_GB2312" w:eastAsia="仿宋_GB2312" w:hAnsi="宋体" w:cs="Times New Roman" w:hint="eastAsia"/>
          <w:noProof w:val="0"/>
          <w:position w:val="6"/>
          <w:sz w:val="30"/>
          <w:szCs w:val="30"/>
        </w:rPr>
        <w:t>思政课</w:t>
      </w:r>
      <w:proofErr w:type="gramEnd"/>
      <w:r w:rsidRPr="00910797">
        <w:rPr>
          <w:rFonts w:ascii="仿宋_GB2312" w:eastAsia="仿宋_GB2312" w:hAnsi="宋体" w:cs="Times New Roman" w:hint="eastAsia"/>
          <w:noProof w:val="0"/>
          <w:position w:val="6"/>
          <w:sz w:val="30"/>
          <w:szCs w:val="30"/>
        </w:rPr>
        <w:t>一体化建设体系与实施路径研究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6.</w:t>
      </w:r>
      <w:r w:rsidRPr="00910797">
        <w:rPr>
          <w:rFonts w:ascii="仿宋_GB2312" w:eastAsia="仿宋_GB2312" w:hAnsi="宋体" w:cs="Times New Roman" w:hint="eastAsia"/>
          <w:noProof w:val="0"/>
          <w:position w:val="6"/>
          <w:sz w:val="30"/>
          <w:szCs w:val="30"/>
        </w:rPr>
        <w:t>增强中小学德育工作实效的模式与策略研究</w:t>
      </w:r>
    </w:p>
    <w:p w:rsidR="00910797" w:rsidRPr="00DB4040" w:rsidRDefault="00494EDA"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Pr>
          <w:rFonts w:ascii="仿宋_GB2312" w:eastAsia="仿宋_GB2312" w:hAnsi="宋体" w:cs="Times New Roman" w:hint="eastAsia"/>
          <w:noProof w:val="0"/>
          <w:position w:val="6"/>
          <w:sz w:val="30"/>
          <w:szCs w:val="30"/>
        </w:rPr>
        <w:t>7</w:t>
      </w:r>
      <w:r w:rsidR="00910797" w:rsidRPr="00DB4040">
        <w:rPr>
          <w:rFonts w:ascii="仿宋_GB2312" w:eastAsia="仿宋_GB2312" w:hAnsi="宋体" w:cs="Times New Roman"/>
          <w:noProof w:val="0"/>
          <w:position w:val="6"/>
          <w:sz w:val="30"/>
          <w:szCs w:val="30"/>
        </w:rPr>
        <w:t>.</w:t>
      </w:r>
      <w:r w:rsidR="00910797" w:rsidRPr="00910797">
        <w:rPr>
          <w:rFonts w:ascii="仿宋_GB2312" w:eastAsia="仿宋_GB2312" w:hAnsi="宋体" w:cs="Times New Roman" w:hint="eastAsia"/>
          <w:noProof w:val="0"/>
          <w:position w:val="6"/>
          <w:sz w:val="30"/>
          <w:szCs w:val="30"/>
        </w:rPr>
        <w:t>统筹推进城乡学前教育普及普惠发展区域模式与经验研究</w:t>
      </w:r>
    </w:p>
    <w:p w:rsidR="00910797" w:rsidRPr="00DB4040" w:rsidRDefault="00494EDA"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Pr>
          <w:rFonts w:ascii="仿宋_GB2312" w:eastAsia="仿宋_GB2312" w:hAnsi="宋体" w:cs="Times New Roman" w:hint="eastAsia"/>
          <w:noProof w:val="0"/>
          <w:position w:val="6"/>
          <w:sz w:val="30"/>
          <w:szCs w:val="30"/>
        </w:rPr>
        <w:t>8</w:t>
      </w:r>
      <w:r w:rsidR="00910797" w:rsidRPr="00DB4040">
        <w:rPr>
          <w:rFonts w:ascii="仿宋_GB2312" w:eastAsia="仿宋_GB2312" w:hAnsi="宋体" w:cs="Times New Roman"/>
          <w:noProof w:val="0"/>
          <w:position w:val="6"/>
          <w:sz w:val="30"/>
          <w:szCs w:val="30"/>
        </w:rPr>
        <w:t>.</w:t>
      </w:r>
      <w:r w:rsidR="00910797" w:rsidRPr="00910797">
        <w:rPr>
          <w:rFonts w:ascii="仿宋_GB2312" w:eastAsia="仿宋_GB2312" w:hAnsi="宋体" w:cs="Times New Roman" w:hint="eastAsia"/>
          <w:noProof w:val="0"/>
          <w:position w:val="6"/>
          <w:sz w:val="30"/>
          <w:szCs w:val="30"/>
        </w:rPr>
        <w:t>学校实施新颁义务教育课程方案与课程标准的实践研究</w:t>
      </w:r>
    </w:p>
    <w:p w:rsidR="00910797" w:rsidRPr="00DB4040" w:rsidRDefault="00494EDA"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Pr>
          <w:rFonts w:ascii="仿宋_GB2312" w:eastAsia="仿宋_GB2312" w:hAnsi="宋体" w:cs="Times New Roman" w:hint="eastAsia"/>
          <w:noProof w:val="0"/>
          <w:position w:val="6"/>
          <w:sz w:val="30"/>
          <w:szCs w:val="30"/>
        </w:rPr>
        <w:t>9</w:t>
      </w:r>
      <w:r w:rsidR="00910797" w:rsidRPr="00DB4040">
        <w:rPr>
          <w:rFonts w:ascii="仿宋_GB2312" w:eastAsia="仿宋_GB2312" w:hAnsi="宋体" w:cs="Times New Roman"/>
          <w:noProof w:val="0"/>
          <w:position w:val="6"/>
          <w:sz w:val="30"/>
          <w:szCs w:val="30"/>
        </w:rPr>
        <w:t>.</w:t>
      </w:r>
      <w:r w:rsidR="00910797" w:rsidRPr="00910797">
        <w:rPr>
          <w:rFonts w:ascii="仿宋_GB2312" w:eastAsia="仿宋_GB2312" w:hAnsi="宋体" w:cs="Times New Roman" w:hint="eastAsia"/>
          <w:noProof w:val="0"/>
          <w:position w:val="6"/>
          <w:sz w:val="30"/>
          <w:szCs w:val="30"/>
        </w:rPr>
        <w:t>“双减”背景下学校作业设计、课后服务、课堂教学“三位一体”整体改革的实践策略研究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0</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县域高中整体发展提升策略与实践研究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1</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基于核心素养的德智体美劳考查体系研究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2</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学校体教融合改革发展推进策略与实践研究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3</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推进中小学劳动教育综合育人的理论与实践研究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4</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中小学综合实践活动改进与绩效提升研究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5</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基于学生差异化发展的课程与教学改革实践研究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6</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激发中小学校办学活力的机制研究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7</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提升中小学校长课程领导力的对策研究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1</w:t>
      </w:r>
      <w:r w:rsidR="00494EDA">
        <w:rPr>
          <w:rFonts w:ascii="仿宋_GB2312" w:eastAsia="仿宋_GB2312" w:hAnsi="宋体" w:cs="Times New Roman" w:hint="eastAsia"/>
          <w:noProof w:val="0"/>
          <w:position w:val="6"/>
          <w:sz w:val="30"/>
          <w:szCs w:val="30"/>
        </w:rPr>
        <w:t>8</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推进基础教育质量评价改革实践研究</w:t>
      </w:r>
    </w:p>
    <w:p w:rsidR="00910797" w:rsidRPr="00DB4040" w:rsidRDefault="00494EDA"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Pr>
          <w:rFonts w:ascii="仿宋_GB2312" w:eastAsia="仿宋_GB2312" w:hAnsi="宋体" w:cs="Times New Roman" w:hint="eastAsia"/>
          <w:noProof w:val="0"/>
          <w:position w:val="6"/>
          <w:sz w:val="30"/>
          <w:szCs w:val="30"/>
        </w:rPr>
        <w:t>19</w:t>
      </w:r>
      <w:r w:rsidR="00910797" w:rsidRPr="00DB4040">
        <w:rPr>
          <w:rFonts w:ascii="仿宋_GB2312" w:eastAsia="仿宋_GB2312" w:hAnsi="宋体" w:cs="Times New Roman"/>
          <w:noProof w:val="0"/>
          <w:position w:val="6"/>
          <w:sz w:val="30"/>
          <w:szCs w:val="30"/>
        </w:rPr>
        <w:t>.</w:t>
      </w:r>
      <w:r w:rsidR="00910797" w:rsidRPr="00910797">
        <w:rPr>
          <w:rFonts w:ascii="仿宋_GB2312" w:eastAsia="仿宋_GB2312" w:hAnsi="宋体" w:cs="Times New Roman" w:hint="eastAsia"/>
          <w:noProof w:val="0"/>
          <w:position w:val="6"/>
          <w:sz w:val="30"/>
          <w:szCs w:val="30"/>
        </w:rPr>
        <w:t>“双减”政策落实（区域）监测及成效评价研究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lastRenderedPageBreak/>
        <w:t>2</w:t>
      </w:r>
      <w:r w:rsidR="00494EDA">
        <w:rPr>
          <w:rFonts w:ascii="仿宋_GB2312" w:eastAsia="仿宋_GB2312" w:hAnsi="宋体" w:cs="Times New Roman" w:hint="eastAsia"/>
          <w:noProof w:val="0"/>
          <w:position w:val="6"/>
          <w:sz w:val="30"/>
          <w:szCs w:val="30"/>
        </w:rPr>
        <w:t>0</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核心素养导向的课程、教学与考试评价研究</w:t>
      </w:r>
    </w:p>
    <w:p w:rsidR="00910797" w:rsidRPr="00DB4040" w:rsidRDefault="00910797" w:rsidP="00A65FF6">
      <w:pPr>
        <w:widowControl/>
        <w:tabs>
          <w:tab w:val="left" w:pos="13413"/>
        </w:tabs>
        <w:spacing w:line="540" w:lineRule="exact"/>
        <w:ind w:firstLineChars="250" w:firstLine="750"/>
        <w:jc w:val="left"/>
        <w:rPr>
          <w:rFonts w:ascii="仿宋_GB2312" w:eastAsia="仿宋_GB2312" w:hAnsi="宋体" w:cs="Times New Roman"/>
          <w:noProof w:val="0"/>
          <w:position w:val="6"/>
          <w:sz w:val="30"/>
          <w:szCs w:val="30"/>
        </w:rPr>
      </w:pPr>
      <w:r w:rsidRPr="00DB4040">
        <w:rPr>
          <w:rFonts w:ascii="仿宋_GB2312" w:eastAsia="仿宋_GB2312" w:hAnsi="宋体" w:cs="Times New Roman" w:hint="eastAsia"/>
          <w:noProof w:val="0"/>
          <w:position w:val="6"/>
          <w:sz w:val="30"/>
          <w:szCs w:val="30"/>
        </w:rPr>
        <w:t>2</w:t>
      </w:r>
      <w:r w:rsidR="00494EDA">
        <w:rPr>
          <w:rFonts w:ascii="仿宋_GB2312" w:eastAsia="仿宋_GB2312" w:hAnsi="宋体" w:cs="Times New Roman" w:hint="eastAsia"/>
          <w:noProof w:val="0"/>
          <w:position w:val="6"/>
          <w:sz w:val="30"/>
          <w:szCs w:val="30"/>
        </w:rPr>
        <w:t>1</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素养本位学业质量标准的理论模型和实证研究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2</w:t>
      </w:r>
      <w:r w:rsidR="00494EDA">
        <w:rPr>
          <w:rFonts w:ascii="仿宋_GB2312" w:eastAsia="仿宋_GB2312" w:hAnsi="宋体" w:cs="Times New Roman" w:hint="eastAsia"/>
          <w:noProof w:val="0"/>
          <w:position w:val="6"/>
          <w:sz w:val="30"/>
          <w:szCs w:val="30"/>
        </w:rPr>
        <w:t>2</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乡村教育振兴和教育振兴乡村的实践与案例研究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2</w:t>
      </w:r>
      <w:r w:rsidR="00494EDA">
        <w:rPr>
          <w:rFonts w:ascii="仿宋_GB2312" w:eastAsia="仿宋_GB2312" w:hAnsi="宋体" w:cs="Times New Roman" w:hint="eastAsia"/>
          <w:noProof w:val="0"/>
          <w:position w:val="6"/>
          <w:sz w:val="30"/>
          <w:szCs w:val="30"/>
        </w:rPr>
        <w:t>3</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新时代“强师计划”区域实施策略研究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2</w:t>
      </w:r>
      <w:r w:rsidR="00494EDA">
        <w:rPr>
          <w:rFonts w:ascii="仿宋_GB2312" w:eastAsia="仿宋_GB2312" w:hAnsi="宋体" w:cs="Times New Roman" w:hint="eastAsia"/>
          <w:noProof w:val="0"/>
          <w:position w:val="6"/>
          <w:sz w:val="30"/>
          <w:szCs w:val="30"/>
        </w:rPr>
        <w:t>4</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基于义务教育新课标的学科教师培训研究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2</w:t>
      </w:r>
      <w:r w:rsidR="00494EDA">
        <w:rPr>
          <w:rFonts w:ascii="仿宋_GB2312" w:eastAsia="仿宋_GB2312" w:hAnsi="宋体" w:cs="Times New Roman" w:hint="eastAsia"/>
          <w:noProof w:val="0"/>
          <w:position w:val="6"/>
          <w:sz w:val="30"/>
          <w:szCs w:val="30"/>
        </w:rPr>
        <w:t>5</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统筹师范生培养和教师在职培训的实践研究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2</w:t>
      </w:r>
      <w:r w:rsidR="00494EDA">
        <w:rPr>
          <w:rFonts w:ascii="仿宋_GB2312" w:eastAsia="仿宋_GB2312" w:hAnsi="宋体" w:cs="Times New Roman" w:hint="eastAsia"/>
          <w:noProof w:val="0"/>
          <w:position w:val="6"/>
          <w:sz w:val="30"/>
          <w:szCs w:val="30"/>
        </w:rPr>
        <w:t>6</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新时代城乡教育一体化师资供需配置研究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2</w:t>
      </w:r>
      <w:r w:rsidR="00494EDA">
        <w:rPr>
          <w:rFonts w:ascii="仿宋_GB2312" w:eastAsia="仿宋_GB2312" w:hAnsi="宋体" w:cs="Times New Roman" w:hint="eastAsia"/>
          <w:noProof w:val="0"/>
          <w:position w:val="6"/>
          <w:sz w:val="30"/>
          <w:szCs w:val="30"/>
        </w:rPr>
        <w:t>7</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基础教育教师管理与待遇保障的机制研究</w:t>
      </w:r>
    </w:p>
    <w:p w:rsidR="00910797" w:rsidRPr="00DB4040" w:rsidRDefault="00494EDA"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Pr>
          <w:rFonts w:ascii="仿宋_GB2312" w:eastAsia="仿宋_GB2312" w:hAnsi="宋体" w:cs="Times New Roman" w:hint="eastAsia"/>
          <w:noProof w:val="0"/>
          <w:position w:val="6"/>
          <w:sz w:val="30"/>
          <w:szCs w:val="30"/>
        </w:rPr>
        <w:t>28</w:t>
      </w:r>
      <w:r w:rsidR="00910797" w:rsidRPr="00DB4040">
        <w:rPr>
          <w:rFonts w:ascii="仿宋_GB2312" w:eastAsia="仿宋_GB2312" w:hAnsi="宋体" w:cs="Times New Roman"/>
          <w:noProof w:val="0"/>
          <w:position w:val="6"/>
          <w:sz w:val="30"/>
          <w:szCs w:val="30"/>
        </w:rPr>
        <w:t>.</w:t>
      </w:r>
      <w:r w:rsidR="00910797" w:rsidRPr="00910797">
        <w:rPr>
          <w:rFonts w:ascii="仿宋_GB2312" w:eastAsia="仿宋_GB2312" w:hAnsi="宋体" w:cs="Times New Roman" w:hint="eastAsia"/>
          <w:noProof w:val="0"/>
          <w:position w:val="6"/>
          <w:sz w:val="30"/>
          <w:szCs w:val="30"/>
        </w:rPr>
        <w:t>中小学教研历史经验、国际影响与发展趋势研究</w:t>
      </w:r>
    </w:p>
    <w:p w:rsidR="00910797" w:rsidRPr="00DB4040" w:rsidRDefault="00494EDA"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Pr>
          <w:rFonts w:ascii="仿宋_GB2312" w:eastAsia="仿宋_GB2312" w:hAnsi="宋体" w:cs="Times New Roman" w:hint="eastAsia"/>
          <w:noProof w:val="0"/>
          <w:position w:val="6"/>
          <w:sz w:val="30"/>
          <w:szCs w:val="30"/>
        </w:rPr>
        <w:t>29</w:t>
      </w:r>
      <w:r w:rsidR="00910797" w:rsidRPr="00DB4040">
        <w:rPr>
          <w:rFonts w:ascii="仿宋_GB2312" w:eastAsia="仿宋_GB2312" w:hAnsi="宋体" w:cs="Times New Roman"/>
          <w:noProof w:val="0"/>
          <w:position w:val="6"/>
          <w:sz w:val="30"/>
          <w:szCs w:val="30"/>
        </w:rPr>
        <w:t>.</w:t>
      </w:r>
      <w:r w:rsidR="00910797" w:rsidRPr="00910797">
        <w:rPr>
          <w:rFonts w:ascii="仿宋_GB2312" w:eastAsia="仿宋_GB2312" w:hAnsi="宋体" w:cs="Times New Roman" w:hint="eastAsia"/>
          <w:noProof w:val="0"/>
          <w:position w:val="6"/>
          <w:sz w:val="30"/>
          <w:szCs w:val="30"/>
        </w:rPr>
        <w:t>中小学生心理健康与干预策略研究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3</w:t>
      </w:r>
      <w:r w:rsidR="00494EDA">
        <w:rPr>
          <w:rFonts w:ascii="仿宋_GB2312" w:eastAsia="仿宋_GB2312" w:hAnsi="宋体" w:cs="Times New Roman" w:hint="eastAsia"/>
          <w:noProof w:val="0"/>
          <w:position w:val="6"/>
          <w:sz w:val="30"/>
          <w:szCs w:val="30"/>
        </w:rPr>
        <w:t>0</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加强中小学校（幼儿园）安全管理的实践研究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910797">
        <w:rPr>
          <w:rFonts w:ascii="仿宋_GB2312" w:eastAsia="仿宋_GB2312" w:hAnsi="宋体" w:cs="Times New Roman" w:hint="eastAsia"/>
          <w:noProof w:val="0"/>
          <w:position w:val="6"/>
          <w:sz w:val="30"/>
          <w:szCs w:val="30"/>
        </w:rPr>
        <w:t>3</w:t>
      </w:r>
      <w:r w:rsidR="00494EDA">
        <w:rPr>
          <w:rFonts w:ascii="仿宋_GB2312" w:eastAsia="仿宋_GB2312" w:hAnsi="宋体" w:cs="Times New Roman" w:hint="eastAsia"/>
          <w:noProof w:val="0"/>
          <w:position w:val="6"/>
          <w:sz w:val="30"/>
          <w:szCs w:val="30"/>
        </w:rPr>
        <w:t>1</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推进特殊教育拓展融合提升策略与实践研究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3</w:t>
      </w:r>
      <w:r w:rsidR="00494EDA">
        <w:rPr>
          <w:rFonts w:ascii="仿宋_GB2312" w:eastAsia="仿宋_GB2312" w:hAnsi="宋体" w:cs="Times New Roman" w:hint="eastAsia"/>
          <w:noProof w:val="0"/>
          <w:position w:val="6"/>
          <w:sz w:val="30"/>
          <w:szCs w:val="30"/>
        </w:rPr>
        <w:t>2</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融合信息技术深化中小学教育教学改革实践研究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3</w:t>
      </w:r>
      <w:r w:rsidR="00494EDA">
        <w:rPr>
          <w:rFonts w:ascii="仿宋_GB2312" w:eastAsia="仿宋_GB2312" w:hAnsi="宋体" w:cs="Times New Roman" w:hint="eastAsia"/>
          <w:noProof w:val="0"/>
          <w:position w:val="6"/>
          <w:sz w:val="30"/>
          <w:szCs w:val="30"/>
        </w:rPr>
        <w:t>3</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新冠疫情防控常态化背景下进一步提升中小学大规模线上教学质量和效益的理论与实践研究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3</w:t>
      </w:r>
      <w:r w:rsidR="00494EDA">
        <w:rPr>
          <w:rFonts w:ascii="仿宋_GB2312" w:eastAsia="仿宋_GB2312" w:hAnsi="宋体" w:cs="Times New Roman" w:hint="eastAsia"/>
          <w:noProof w:val="0"/>
          <w:position w:val="6"/>
          <w:sz w:val="30"/>
          <w:szCs w:val="30"/>
        </w:rPr>
        <w:t>4</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推进学校提升家庭教育指导能力策略与实践研究</w:t>
      </w:r>
    </w:p>
    <w:p w:rsidR="00910797" w:rsidRPr="00DB4040" w:rsidRDefault="00910797" w:rsidP="00A65FF6">
      <w:pPr>
        <w:widowControl/>
        <w:tabs>
          <w:tab w:val="left" w:pos="13413"/>
        </w:tabs>
        <w:spacing w:line="540" w:lineRule="exact"/>
        <w:ind w:left="113" w:firstLineChars="200" w:firstLine="600"/>
        <w:jc w:val="left"/>
        <w:rPr>
          <w:rFonts w:ascii="仿宋_GB2312" w:eastAsia="仿宋_GB2312" w:hAnsi="宋体" w:cs="Times New Roman"/>
          <w:noProof w:val="0"/>
          <w:position w:val="6"/>
          <w:sz w:val="30"/>
          <w:szCs w:val="30"/>
        </w:rPr>
      </w:pPr>
      <w:r w:rsidRPr="00DB4040">
        <w:rPr>
          <w:rFonts w:ascii="仿宋_GB2312" w:eastAsia="仿宋_GB2312" w:hAnsi="宋体" w:cs="Times New Roman"/>
          <w:noProof w:val="0"/>
          <w:position w:val="6"/>
          <w:sz w:val="30"/>
          <w:szCs w:val="30"/>
        </w:rPr>
        <w:t>3</w:t>
      </w:r>
      <w:r w:rsidR="00494EDA">
        <w:rPr>
          <w:rFonts w:ascii="仿宋_GB2312" w:eastAsia="仿宋_GB2312" w:hAnsi="宋体" w:cs="Times New Roman" w:hint="eastAsia"/>
          <w:noProof w:val="0"/>
          <w:position w:val="6"/>
          <w:sz w:val="30"/>
          <w:szCs w:val="30"/>
        </w:rPr>
        <w:t>5</w:t>
      </w:r>
      <w:r w:rsidRPr="00DB4040">
        <w:rPr>
          <w:rFonts w:ascii="仿宋_GB2312" w:eastAsia="仿宋_GB2312" w:hAnsi="宋体" w:cs="Times New Roman"/>
          <w:noProof w:val="0"/>
          <w:position w:val="6"/>
          <w:sz w:val="30"/>
          <w:szCs w:val="30"/>
        </w:rPr>
        <w:t>.</w:t>
      </w:r>
      <w:r w:rsidRPr="00910797">
        <w:rPr>
          <w:rFonts w:ascii="仿宋_GB2312" w:eastAsia="仿宋_GB2312" w:hAnsi="宋体" w:cs="Times New Roman" w:hint="eastAsia"/>
          <w:noProof w:val="0"/>
          <w:position w:val="6"/>
          <w:sz w:val="30"/>
          <w:szCs w:val="30"/>
        </w:rPr>
        <w:t>家长教育能力建设的理论与实践研究</w:t>
      </w:r>
      <w:bookmarkStart w:id="0" w:name="_GoBack"/>
      <w:bookmarkEnd w:id="0"/>
    </w:p>
    <w:sectPr w:rsidR="00910797" w:rsidRPr="00DB4040" w:rsidSect="00A65FF6">
      <w:pgSz w:w="11900" w:h="16840"/>
      <w:pgMar w:top="1361" w:right="1588" w:bottom="1361" w:left="1588"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7B" w:rsidRDefault="00CC007B" w:rsidP="00E325F5">
      <w:r>
        <w:separator/>
      </w:r>
    </w:p>
  </w:endnote>
  <w:endnote w:type="continuationSeparator" w:id="0">
    <w:p w:rsidR="00CC007B" w:rsidRDefault="00CC007B" w:rsidP="00E3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ongti SC">
    <w:altName w:val="Arial Unicode MS"/>
    <w:charset w:val="86"/>
    <w:family w:val="auto"/>
    <w:pitch w:val="variable"/>
    <w:sig w:usb0="00000000"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7B" w:rsidRDefault="00CC007B" w:rsidP="00E325F5">
      <w:r>
        <w:separator/>
      </w:r>
    </w:p>
  </w:footnote>
  <w:footnote w:type="continuationSeparator" w:id="0">
    <w:p w:rsidR="00CC007B" w:rsidRDefault="00CC007B" w:rsidP="00E32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97"/>
    <w:rsid w:val="00494EDA"/>
    <w:rsid w:val="007219CA"/>
    <w:rsid w:val="00756569"/>
    <w:rsid w:val="00910797"/>
    <w:rsid w:val="00A65FF6"/>
    <w:rsid w:val="00C0078D"/>
    <w:rsid w:val="00CC007B"/>
    <w:rsid w:val="00CC2F28"/>
    <w:rsid w:val="00DB4040"/>
    <w:rsid w:val="00E325F5"/>
    <w:rsid w:val="00F2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paragraph" w:styleId="1">
    <w:name w:val="heading 1"/>
    <w:basedOn w:val="a"/>
    <w:next w:val="a"/>
    <w:link w:val="1Char"/>
    <w:uiPriority w:val="9"/>
    <w:qFormat/>
    <w:rsid w:val="0075656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autoRedefine/>
    <w:qFormat/>
    <w:rsid w:val="00756569"/>
    <w:pPr>
      <w:jc w:val="center"/>
    </w:pPr>
    <w:rPr>
      <w:rFonts w:eastAsia="Songti SC"/>
      <w:sz w:val="32"/>
    </w:rPr>
  </w:style>
  <w:style w:type="character" w:customStyle="1" w:styleId="1Char">
    <w:name w:val="标题 1 Char"/>
    <w:basedOn w:val="a0"/>
    <w:link w:val="1"/>
    <w:uiPriority w:val="9"/>
    <w:rsid w:val="00756569"/>
    <w:rPr>
      <w:b/>
      <w:bCs/>
      <w:noProof/>
      <w:kern w:val="44"/>
      <w:sz w:val="44"/>
      <w:szCs w:val="44"/>
    </w:rPr>
  </w:style>
  <w:style w:type="paragraph" w:styleId="a3">
    <w:name w:val="Plain Text"/>
    <w:basedOn w:val="a"/>
    <w:link w:val="Char"/>
    <w:rsid w:val="00910797"/>
    <w:rPr>
      <w:rFonts w:ascii="宋体" w:eastAsia="宋体" w:hAnsi="Courier New" w:cs="Courier New"/>
      <w:noProof w:val="0"/>
      <w:sz w:val="21"/>
      <w:szCs w:val="21"/>
    </w:rPr>
  </w:style>
  <w:style w:type="character" w:customStyle="1" w:styleId="Char">
    <w:name w:val="纯文本 Char"/>
    <w:basedOn w:val="a0"/>
    <w:link w:val="a3"/>
    <w:rsid w:val="00910797"/>
    <w:rPr>
      <w:rFonts w:ascii="宋体" w:eastAsia="宋体" w:hAnsi="Courier New" w:cs="Courier New"/>
      <w:sz w:val="21"/>
      <w:szCs w:val="21"/>
    </w:rPr>
  </w:style>
  <w:style w:type="paragraph" w:styleId="a4">
    <w:name w:val="header"/>
    <w:basedOn w:val="a"/>
    <w:link w:val="Char0"/>
    <w:uiPriority w:val="99"/>
    <w:unhideWhenUsed/>
    <w:rsid w:val="00E325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325F5"/>
    <w:rPr>
      <w:noProof/>
      <w:sz w:val="18"/>
      <w:szCs w:val="18"/>
    </w:rPr>
  </w:style>
  <w:style w:type="paragraph" w:styleId="a5">
    <w:name w:val="footer"/>
    <w:basedOn w:val="a"/>
    <w:link w:val="Char1"/>
    <w:uiPriority w:val="99"/>
    <w:unhideWhenUsed/>
    <w:rsid w:val="00E325F5"/>
    <w:pPr>
      <w:tabs>
        <w:tab w:val="center" w:pos="4153"/>
        <w:tab w:val="right" w:pos="8306"/>
      </w:tabs>
      <w:snapToGrid w:val="0"/>
      <w:jc w:val="left"/>
    </w:pPr>
    <w:rPr>
      <w:sz w:val="18"/>
      <w:szCs w:val="18"/>
    </w:rPr>
  </w:style>
  <w:style w:type="character" w:customStyle="1" w:styleId="Char1">
    <w:name w:val="页脚 Char"/>
    <w:basedOn w:val="a0"/>
    <w:link w:val="a5"/>
    <w:uiPriority w:val="99"/>
    <w:rsid w:val="00E325F5"/>
    <w:rPr>
      <w:noProof/>
      <w:sz w:val="18"/>
      <w:szCs w:val="18"/>
    </w:rPr>
  </w:style>
  <w:style w:type="paragraph" w:styleId="a6">
    <w:name w:val="Balloon Text"/>
    <w:basedOn w:val="a"/>
    <w:link w:val="Char2"/>
    <w:uiPriority w:val="99"/>
    <w:semiHidden/>
    <w:unhideWhenUsed/>
    <w:rsid w:val="00494EDA"/>
    <w:rPr>
      <w:sz w:val="18"/>
      <w:szCs w:val="18"/>
    </w:rPr>
  </w:style>
  <w:style w:type="character" w:customStyle="1" w:styleId="Char2">
    <w:name w:val="批注框文本 Char"/>
    <w:basedOn w:val="a0"/>
    <w:link w:val="a6"/>
    <w:uiPriority w:val="99"/>
    <w:semiHidden/>
    <w:rsid w:val="00494EDA"/>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paragraph" w:styleId="1">
    <w:name w:val="heading 1"/>
    <w:basedOn w:val="a"/>
    <w:next w:val="a"/>
    <w:link w:val="1Char"/>
    <w:uiPriority w:val="9"/>
    <w:qFormat/>
    <w:rsid w:val="0075656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autoRedefine/>
    <w:qFormat/>
    <w:rsid w:val="00756569"/>
    <w:pPr>
      <w:jc w:val="center"/>
    </w:pPr>
    <w:rPr>
      <w:rFonts w:eastAsia="Songti SC"/>
      <w:sz w:val="32"/>
    </w:rPr>
  </w:style>
  <w:style w:type="character" w:customStyle="1" w:styleId="1Char">
    <w:name w:val="标题 1 Char"/>
    <w:basedOn w:val="a0"/>
    <w:link w:val="1"/>
    <w:uiPriority w:val="9"/>
    <w:rsid w:val="00756569"/>
    <w:rPr>
      <w:b/>
      <w:bCs/>
      <w:noProof/>
      <w:kern w:val="44"/>
      <w:sz w:val="44"/>
      <w:szCs w:val="44"/>
    </w:rPr>
  </w:style>
  <w:style w:type="paragraph" w:styleId="a3">
    <w:name w:val="Plain Text"/>
    <w:basedOn w:val="a"/>
    <w:link w:val="Char"/>
    <w:rsid w:val="00910797"/>
    <w:rPr>
      <w:rFonts w:ascii="宋体" w:eastAsia="宋体" w:hAnsi="Courier New" w:cs="Courier New"/>
      <w:noProof w:val="0"/>
      <w:sz w:val="21"/>
      <w:szCs w:val="21"/>
    </w:rPr>
  </w:style>
  <w:style w:type="character" w:customStyle="1" w:styleId="Char">
    <w:name w:val="纯文本 Char"/>
    <w:basedOn w:val="a0"/>
    <w:link w:val="a3"/>
    <w:rsid w:val="00910797"/>
    <w:rPr>
      <w:rFonts w:ascii="宋体" w:eastAsia="宋体" w:hAnsi="Courier New" w:cs="Courier New"/>
      <w:sz w:val="21"/>
      <w:szCs w:val="21"/>
    </w:rPr>
  </w:style>
  <w:style w:type="paragraph" w:styleId="a4">
    <w:name w:val="header"/>
    <w:basedOn w:val="a"/>
    <w:link w:val="Char0"/>
    <w:uiPriority w:val="99"/>
    <w:unhideWhenUsed/>
    <w:rsid w:val="00E325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325F5"/>
    <w:rPr>
      <w:noProof/>
      <w:sz w:val="18"/>
      <w:szCs w:val="18"/>
    </w:rPr>
  </w:style>
  <w:style w:type="paragraph" w:styleId="a5">
    <w:name w:val="footer"/>
    <w:basedOn w:val="a"/>
    <w:link w:val="Char1"/>
    <w:uiPriority w:val="99"/>
    <w:unhideWhenUsed/>
    <w:rsid w:val="00E325F5"/>
    <w:pPr>
      <w:tabs>
        <w:tab w:val="center" w:pos="4153"/>
        <w:tab w:val="right" w:pos="8306"/>
      </w:tabs>
      <w:snapToGrid w:val="0"/>
      <w:jc w:val="left"/>
    </w:pPr>
    <w:rPr>
      <w:sz w:val="18"/>
      <w:szCs w:val="18"/>
    </w:rPr>
  </w:style>
  <w:style w:type="character" w:customStyle="1" w:styleId="Char1">
    <w:name w:val="页脚 Char"/>
    <w:basedOn w:val="a0"/>
    <w:link w:val="a5"/>
    <w:uiPriority w:val="99"/>
    <w:rsid w:val="00E325F5"/>
    <w:rPr>
      <w:noProof/>
      <w:sz w:val="18"/>
      <w:szCs w:val="18"/>
    </w:rPr>
  </w:style>
  <w:style w:type="paragraph" w:styleId="a6">
    <w:name w:val="Balloon Text"/>
    <w:basedOn w:val="a"/>
    <w:link w:val="Char2"/>
    <w:uiPriority w:val="99"/>
    <w:semiHidden/>
    <w:unhideWhenUsed/>
    <w:rsid w:val="00494EDA"/>
    <w:rPr>
      <w:sz w:val="18"/>
      <w:szCs w:val="18"/>
    </w:rPr>
  </w:style>
  <w:style w:type="character" w:customStyle="1" w:styleId="Char2">
    <w:name w:val="批注框文本 Char"/>
    <w:basedOn w:val="a0"/>
    <w:link w:val="a6"/>
    <w:uiPriority w:val="99"/>
    <w:semiHidden/>
    <w:rsid w:val="00494EDA"/>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tina</dc:creator>
  <cp:keywords/>
  <dc:description/>
  <cp:lastModifiedBy>User</cp:lastModifiedBy>
  <cp:revision>3</cp:revision>
  <cp:lastPrinted>2022-07-28T10:37:00Z</cp:lastPrinted>
  <dcterms:created xsi:type="dcterms:W3CDTF">2022-06-03T05:49:00Z</dcterms:created>
  <dcterms:modified xsi:type="dcterms:W3CDTF">2022-07-28T10:37:00Z</dcterms:modified>
</cp:coreProperties>
</file>